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97FC" w14:textId="77777777" w:rsidR="00874792" w:rsidRPr="006B2F7D" w:rsidRDefault="00874792" w:rsidP="00C51C90">
      <w:pPr>
        <w:spacing w:line="480" w:lineRule="auto"/>
        <w:jc w:val="center"/>
        <w:rPr>
          <w:b/>
        </w:rPr>
      </w:pPr>
      <w:bookmarkStart w:id="0" w:name="_GoBack"/>
      <w:bookmarkEnd w:id="0"/>
      <w:r w:rsidRPr="006B2F7D">
        <w:rPr>
          <w:b/>
        </w:rPr>
        <w:t>Επαγγελματική εξουθένωση, εργασιακή δέσμευση και εργασιακή απόδοση:</w:t>
      </w:r>
    </w:p>
    <w:p w14:paraId="6038650E" w14:textId="77777777" w:rsidR="00405535" w:rsidRPr="00874D21" w:rsidRDefault="00874792" w:rsidP="00C51C90">
      <w:pPr>
        <w:spacing w:line="480" w:lineRule="auto"/>
        <w:ind w:firstLine="576"/>
        <w:jc w:val="center"/>
        <w:rPr>
          <w:b/>
        </w:rPr>
      </w:pPr>
      <w:r w:rsidRPr="006B2F7D">
        <w:rPr>
          <w:b/>
        </w:rPr>
        <w:t>Ο διαμεσολαβητικός ρόλος των γνωστικών λειτουργιών</w:t>
      </w:r>
    </w:p>
    <w:p w14:paraId="6E89A100" w14:textId="77777777" w:rsidR="006B2F7D" w:rsidRPr="009128FE" w:rsidRDefault="00405535" w:rsidP="00C51C90">
      <w:pPr>
        <w:spacing w:line="360" w:lineRule="auto"/>
        <w:ind w:firstLine="576"/>
        <w:jc w:val="center"/>
      </w:pPr>
      <w:r>
        <w:t>Ροδάνθη Λεμονάκη</w:t>
      </w:r>
      <w:r w:rsidR="004768D8">
        <w:t xml:space="preserve">, </w:t>
      </w:r>
      <w:r w:rsidR="004768D8">
        <w:rPr>
          <w:lang w:val="en-US"/>
        </w:rPr>
        <w:t>BA</w:t>
      </w:r>
      <w:r w:rsidR="004768D8" w:rsidRPr="009128FE">
        <w:t xml:space="preserve">, </w:t>
      </w:r>
      <w:r w:rsidR="004768D8">
        <w:rPr>
          <w:lang w:val="en-US"/>
        </w:rPr>
        <w:t>M</w:t>
      </w:r>
      <w:r w:rsidR="004768D8" w:rsidRPr="009128FE">
        <w:t>.</w:t>
      </w:r>
      <w:r w:rsidR="004768D8">
        <w:rPr>
          <w:lang w:val="en-US"/>
        </w:rPr>
        <w:t>Sc</w:t>
      </w:r>
      <w:r w:rsidR="004768D8" w:rsidRPr="009128FE">
        <w:t xml:space="preserve">, </w:t>
      </w:r>
      <w:r w:rsidR="004768D8">
        <w:rPr>
          <w:lang w:val="en-US"/>
        </w:rPr>
        <w:t>Ph</w:t>
      </w:r>
      <w:r w:rsidR="004768D8" w:rsidRPr="009128FE">
        <w:t>.</w:t>
      </w:r>
      <w:r w:rsidR="004768D8">
        <w:rPr>
          <w:lang w:val="en-US"/>
        </w:rPr>
        <w:t>D</w:t>
      </w:r>
    </w:p>
    <w:p w14:paraId="30F271D1" w14:textId="1250799E" w:rsidR="006B2F7D" w:rsidRPr="00874D21" w:rsidRDefault="006B2F7D" w:rsidP="00C51C90">
      <w:pPr>
        <w:spacing w:line="360" w:lineRule="auto"/>
        <w:ind w:firstLine="576"/>
        <w:jc w:val="center"/>
      </w:pPr>
      <w:r>
        <w:t>Προϊσταμένη Τμήματος Ανθρώπινου Δυναμικού</w:t>
      </w:r>
    </w:p>
    <w:p w14:paraId="3EA83F31" w14:textId="77777777" w:rsidR="006B2F7D" w:rsidRPr="006B2F7D" w:rsidRDefault="006B2F7D" w:rsidP="00C51C90">
      <w:pPr>
        <w:spacing w:line="360" w:lineRule="auto"/>
        <w:ind w:firstLine="576"/>
        <w:jc w:val="center"/>
      </w:pPr>
      <w:r>
        <w:t>Εθνική Επιτροπή Τηλεπικοινωνιών &amp; Ταχυδρομείων</w:t>
      </w:r>
    </w:p>
    <w:p w14:paraId="578D18AF" w14:textId="77777777" w:rsidR="006B2F7D" w:rsidRPr="006B2F7D" w:rsidRDefault="006B2F7D" w:rsidP="00C51C90">
      <w:pPr>
        <w:spacing w:line="360" w:lineRule="auto"/>
        <w:ind w:firstLine="576"/>
        <w:jc w:val="center"/>
      </w:pPr>
      <w:r>
        <w:rPr>
          <w:lang w:val="en-US"/>
        </w:rPr>
        <w:t>Email</w:t>
      </w:r>
      <w:r w:rsidRPr="00874D21">
        <w:t>:</w:t>
      </w:r>
      <w:r>
        <w:t xml:space="preserve"> </w:t>
      </w:r>
      <w:r>
        <w:rPr>
          <w:lang w:val="en-US"/>
        </w:rPr>
        <w:t>rlemonaki</w:t>
      </w:r>
      <w:r w:rsidRPr="00874D21">
        <w:t>@</w:t>
      </w:r>
      <w:r>
        <w:rPr>
          <w:lang w:val="en-US"/>
        </w:rPr>
        <w:t>eett</w:t>
      </w:r>
      <w:r w:rsidRPr="00874D21">
        <w:t>.</w:t>
      </w:r>
      <w:r>
        <w:rPr>
          <w:lang w:val="en-US"/>
        </w:rPr>
        <w:t>gr</w:t>
      </w:r>
    </w:p>
    <w:p w14:paraId="5AF8E244" w14:textId="77777777" w:rsidR="00874792" w:rsidRPr="00874792" w:rsidRDefault="00874792" w:rsidP="00874792">
      <w:pPr>
        <w:spacing w:line="360" w:lineRule="auto"/>
        <w:ind w:firstLine="576"/>
        <w:jc w:val="center"/>
      </w:pPr>
    </w:p>
    <w:p w14:paraId="190D2BBD" w14:textId="6B238B50" w:rsidR="00BB582E" w:rsidRDefault="00B16A2D" w:rsidP="00935F5C">
      <w:pPr>
        <w:spacing w:line="480" w:lineRule="auto"/>
        <w:ind w:firstLine="576"/>
        <w:jc w:val="both"/>
      </w:pPr>
      <w:r>
        <w:t>Ο όρος</w:t>
      </w:r>
      <w:r w:rsidRPr="00AB4001">
        <w:t xml:space="preserve"> </w:t>
      </w:r>
      <w:r w:rsidR="00005752" w:rsidRPr="00AB4001">
        <w:t xml:space="preserve">εργασιακή </w:t>
      </w:r>
      <w:r w:rsidR="00A43883">
        <w:t>ευζωία</w:t>
      </w:r>
      <w:r w:rsidR="00A43883" w:rsidRPr="00AB4001">
        <w:t xml:space="preserve"> </w:t>
      </w:r>
      <w:r w:rsidR="00005752" w:rsidRPr="00AB4001">
        <w:t xml:space="preserve">αναφέρεται στις γνωστικές και συναισθηματικές εκτιμήσεις που </w:t>
      </w:r>
      <w:r w:rsidRPr="00AB4001">
        <w:t>κάν</w:t>
      </w:r>
      <w:r>
        <w:t>ουν</w:t>
      </w:r>
      <w:r w:rsidRPr="00AB4001">
        <w:t xml:space="preserve"> </w:t>
      </w:r>
      <w:r>
        <w:t>οι</w:t>
      </w:r>
      <w:r w:rsidR="00005752" w:rsidRPr="00AB4001">
        <w:t xml:space="preserve"> εργαζόμενο</w:t>
      </w:r>
      <w:r>
        <w:t>ι</w:t>
      </w:r>
      <w:r w:rsidR="00005752" w:rsidRPr="00AB4001">
        <w:t xml:space="preserve"> σχετικά μ</w:t>
      </w:r>
      <w:r w:rsidR="00005752">
        <w:t>ε τις  εργασιακές του</w:t>
      </w:r>
      <w:r>
        <w:t>ς</w:t>
      </w:r>
      <w:r w:rsidR="00005752">
        <w:t xml:space="preserve"> εμπειρίες</w:t>
      </w:r>
      <w:r w:rsidR="00E3506C">
        <w:t xml:space="preserve"> (</w:t>
      </w:r>
      <w:r w:rsidR="00E3506C" w:rsidRPr="00AB4001">
        <w:t xml:space="preserve">Bakker &amp; </w:t>
      </w:r>
      <w:r w:rsidR="00E3506C" w:rsidRPr="003E107A">
        <w:t>Oerlemans</w:t>
      </w:r>
      <w:r w:rsidR="00E3506C" w:rsidRPr="00AB4001">
        <w:t>, 2011).</w:t>
      </w:r>
      <w:r w:rsidR="00E3506C">
        <w:t xml:space="preserve"> </w:t>
      </w:r>
      <w:r w:rsidR="002F1F8F">
        <w:t>Δύο κεντρικοί</w:t>
      </w:r>
      <w:r w:rsidR="00BB582E" w:rsidRPr="00AB4001">
        <w:t xml:space="preserve"> δείκτες </w:t>
      </w:r>
      <w:r w:rsidR="00BB582E">
        <w:t xml:space="preserve">της </w:t>
      </w:r>
      <w:r w:rsidR="00BB582E" w:rsidRPr="00AB4001">
        <w:t xml:space="preserve">εργασιακής </w:t>
      </w:r>
      <w:r w:rsidR="00A43883">
        <w:t>ευζωίας</w:t>
      </w:r>
      <w:r w:rsidR="002F1F8F">
        <w:t xml:space="preserve"> είναι η </w:t>
      </w:r>
      <w:r w:rsidR="00BB582E" w:rsidRPr="00AB4001">
        <w:t xml:space="preserve">επαγγελματική εξουθένωση, η οποία χαρακτηρίζεται από υψηλά επίπεδα </w:t>
      </w:r>
      <w:r w:rsidR="00BB582E" w:rsidRPr="00134C52">
        <w:t xml:space="preserve">εξάντλησης και αποδέσμευσης από την εργασία </w:t>
      </w:r>
      <w:r w:rsidR="00BB582E" w:rsidRPr="00AB4001">
        <w:t>(</w:t>
      </w:r>
      <w:r w:rsidR="00BB582E" w:rsidRPr="00134C52">
        <w:t>Demerouti</w:t>
      </w:r>
      <w:r w:rsidR="00BB582E" w:rsidRPr="00AB4001">
        <w:t xml:space="preserve">, </w:t>
      </w:r>
      <w:r w:rsidR="00BB582E" w:rsidRPr="00134C52">
        <w:t>Mosterd</w:t>
      </w:r>
      <w:r w:rsidR="00BB582E" w:rsidRPr="00AB4001">
        <w:t xml:space="preserve">, &amp; </w:t>
      </w:r>
      <w:r w:rsidR="00BB582E" w:rsidRPr="00134C52">
        <w:t>Bakker</w:t>
      </w:r>
      <w:r w:rsidR="00BB582E" w:rsidRPr="00AB4001">
        <w:t xml:space="preserve">, 2010) </w:t>
      </w:r>
      <w:r w:rsidR="00BB582E" w:rsidRPr="00134C52">
        <w:t>κ</w:t>
      </w:r>
      <w:r w:rsidR="00BB582E" w:rsidRPr="00AB4001">
        <w:t xml:space="preserve">αι </w:t>
      </w:r>
      <w:r w:rsidR="002F1F8F">
        <w:t>η</w:t>
      </w:r>
      <w:r w:rsidR="002F1F8F" w:rsidRPr="00AB4001">
        <w:t xml:space="preserve"> </w:t>
      </w:r>
      <w:r w:rsidR="00BB582E" w:rsidRPr="00AB4001">
        <w:t>εργασιακή δέσμευση, η οποία ορίζεται ως μια θετική κατάσταση κινήτρων σε σχέση με την εργασία που χαρακτηρίζεται από σθένος, αφιέρωση και απορρόφηση (</w:t>
      </w:r>
      <w:r w:rsidR="00BB582E" w:rsidRPr="00134C52">
        <w:t>Schaufeli</w:t>
      </w:r>
      <w:r w:rsidR="00BB582E" w:rsidRPr="00AB4001">
        <w:t xml:space="preserve"> &amp; </w:t>
      </w:r>
      <w:r w:rsidR="00BB582E" w:rsidRPr="00134C52">
        <w:t>Bakker</w:t>
      </w:r>
      <w:r w:rsidR="00BB582E" w:rsidRPr="00AB4001">
        <w:t>, 2004</w:t>
      </w:r>
      <w:r w:rsidR="00E3506C">
        <w:t>).</w:t>
      </w:r>
      <w:r w:rsidR="00F2571B">
        <w:t xml:space="preserve"> </w:t>
      </w:r>
      <w:r w:rsidR="002F1F8F">
        <w:t xml:space="preserve">Αν και προηγούμενες έρευνες </w:t>
      </w:r>
      <w:r w:rsidR="00F2571B">
        <w:t xml:space="preserve">έχουν δείξει ότι οι εξουθενωμένοι εργαζόμενοι εμφανίζουν μειωμένα επίπεδα επαγγελματικής </w:t>
      </w:r>
      <w:r w:rsidR="005F4570">
        <w:t>απόδοσης</w:t>
      </w:r>
      <w:r w:rsidR="00F2571B">
        <w:t xml:space="preserve"> (</w:t>
      </w:r>
      <w:r w:rsidR="007C2381" w:rsidRPr="00405248">
        <w:rPr>
          <w:noProof/>
          <w:lang w:val="en-US"/>
        </w:rPr>
        <w:t>Taris</w:t>
      </w:r>
      <w:r w:rsidR="007C2381" w:rsidRPr="00405248">
        <w:rPr>
          <w:noProof/>
        </w:rPr>
        <w:t>, 2006</w:t>
      </w:r>
      <w:r w:rsidR="00F2571B">
        <w:t>), ενώ οι δεσμευμένοι εργαζόμενοι αποδίδουν σε υψηλό επίπεδο (</w:t>
      </w:r>
      <w:r w:rsidR="00EB7BA9" w:rsidRPr="00AB4001">
        <w:rPr>
          <w:noProof/>
          <w:lang w:val="en-US"/>
        </w:rPr>
        <w:t>Christian</w:t>
      </w:r>
      <w:r w:rsidR="00EB7BA9">
        <w:rPr>
          <w:noProof/>
        </w:rPr>
        <w:t>,</w:t>
      </w:r>
      <w:r w:rsidR="00EB7BA9" w:rsidRPr="00EB7BA9">
        <w:rPr>
          <w:noProof/>
        </w:rPr>
        <w:t xml:space="preserve"> </w:t>
      </w:r>
      <w:r w:rsidR="00EB7BA9" w:rsidRPr="00AB4001">
        <w:rPr>
          <w:noProof/>
          <w:lang w:val="en-US"/>
        </w:rPr>
        <w:t>Garza</w:t>
      </w:r>
      <w:r w:rsidR="00EB7BA9" w:rsidRPr="00EB7BA9">
        <w:rPr>
          <w:noProof/>
        </w:rPr>
        <w:t xml:space="preserve">, &amp; </w:t>
      </w:r>
      <w:r w:rsidR="00EB7BA9" w:rsidRPr="00AB4001">
        <w:rPr>
          <w:noProof/>
          <w:lang w:val="en-US"/>
        </w:rPr>
        <w:t>Slaughter</w:t>
      </w:r>
      <w:r w:rsidR="00EB7BA9" w:rsidRPr="00EB7BA9">
        <w:rPr>
          <w:noProof/>
        </w:rPr>
        <w:t xml:space="preserve">, 2011) </w:t>
      </w:r>
      <w:r w:rsidR="00F2571B">
        <w:t xml:space="preserve">δεν είναι γνωστές οι ψυχολογικές διεργασίες που εξηγούν </w:t>
      </w:r>
      <w:r>
        <w:t>γιατί συμβαίνει αυτό</w:t>
      </w:r>
      <w:r w:rsidR="00F2571B">
        <w:t xml:space="preserve">. </w:t>
      </w:r>
    </w:p>
    <w:p w14:paraId="2953ADC1" w14:textId="5E84CEDC" w:rsidR="00F2571B" w:rsidRDefault="00F2571B" w:rsidP="00F2571B">
      <w:pPr>
        <w:spacing w:line="480" w:lineRule="auto"/>
        <w:ind w:firstLine="576"/>
        <w:jc w:val="both"/>
      </w:pPr>
      <w:r>
        <w:t xml:space="preserve">Κεντρικός στόχος της παρούσας διατριβής ήταν να διερευνηθεί γιατί η επαγγελματική εξουθένωση οδηγεί σε χαμηλή απόδοση και γιατί η εργασιακή δέσμευση ενισχύει την απόδοση των εργαζομένων. </w:t>
      </w:r>
      <w:r w:rsidRPr="0010168B">
        <w:t>Στη βάση των θεωριών</w:t>
      </w:r>
      <w:r w:rsidRPr="007D56DC">
        <w:t xml:space="preserve"> </w:t>
      </w:r>
      <w:r>
        <w:t>του γνωστικού αποθέματος</w:t>
      </w:r>
      <w:r w:rsidRPr="00190A22">
        <w:t xml:space="preserve"> (</w:t>
      </w:r>
      <w:r>
        <w:rPr>
          <w:lang w:val="en-US"/>
        </w:rPr>
        <w:t>Stern</w:t>
      </w:r>
      <w:r>
        <w:t>,</w:t>
      </w:r>
      <w:r w:rsidRPr="00190A22">
        <w:t xml:space="preserve"> 2003)</w:t>
      </w:r>
      <w:r>
        <w:t>, της αυτο-ρύθμισης</w:t>
      </w:r>
      <w:r w:rsidRPr="00190A22">
        <w:t xml:space="preserve"> (</w:t>
      </w:r>
      <w:r w:rsidRPr="00134C52">
        <w:t>Baumeister &amp; Vohs, 2003</w:t>
      </w:r>
      <w:r w:rsidRPr="00EC0992">
        <w:t>)</w:t>
      </w:r>
      <w:r>
        <w:t xml:space="preserve"> και της </w:t>
      </w:r>
      <w:r w:rsidR="00B16A2D">
        <w:t>δ</w:t>
      </w:r>
      <w:r>
        <w:t xml:space="preserve">ιεύρυνσης και </w:t>
      </w:r>
      <w:r w:rsidR="00B16A2D">
        <w:t xml:space="preserve">δόμησης </w:t>
      </w:r>
      <w:r>
        <w:t>των θετικών συναισθημάτων</w:t>
      </w:r>
      <w:r w:rsidRPr="00190A22">
        <w:t xml:space="preserve"> </w:t>
      </w:r>
      <w:r>
        <w:t>(</w:t>
      </w:r>
      <w:r>
        <w:rPr>
          <w:lang w:val="en-US"/>
        </w:rPr>
        <w:t>Fredrickson</w:t>
      </w:r>
      <w:r w:rsidRPr="00190A22">
        <w:t>, 2001)</w:t>
      </w:r>
      <w:r>
        <w:t xml:space="preserve">, διερευνήθηκε </w:t>
      </w:r>
      <w:r w:rsidR="00CA2957">
        <w:t xml:space="preserve">εάν η </w:t>
      </w:r>
      <w:r>
        <w:t>γνωστικ</w:t>
      </w:r>
      <w:r w:rsidR="00CA2957">
        <w:t>ή</w:t>
      </w:r>
      <w:r>
        <w:t xml:space="preserve"> λειτουργ</w:t>
      </w:r>
      <w:r w:rsidR="00CA2957">
        <w:t>ικότητα των εργαζομένων μπορεί να εξηγεί τη</w:t>
      </w:r>
      <w:r>
        <w:t xml:space="preserve"> σχέση ανάμεσα στους δείκτες εργασιακής ευζωίας από τη μία και την εργασιακή απόδοση από την άλλη. Συγκεκριμένα, </w:t>
      </w:r>
      <w:r w:rsidR="00CA2957">
        <w:t>αναμενόταν ότι η</w:t>
      </w:r>
      <w:r w:rsidRPr="0010168B">
        <w:t xml:space="preserve"> επαγγελματική εξουθένωση </w:t>
      </w:r>
      <w:r w:rsidR="00CA2957">
        <w:lastRenderedPageBreak/>
        <w:t>μειώνει την</w:t>
      </w:r>
      <w:r>
        <w:t xml:space="preserve"> εργασιακή απόδοση</w:t>
      </w:r>
      <w:r w:rsidRPr="00B25A69">
        <w:t xml:space="preserve"> </w:t>
      </w:r>
      <w:r>
        <w:t>εξαιτίας της</w:t>
      </w:r>
      <w:r w:rsidRPr="00B25A69">
        <w:t xml:space="preserve"> </w:t>
      </w:r>
      <w:r>
        <w:t>έκπτωσης που προκαλεί στη γνωστική λειτουργικότητα</w:t>
      </w:r>
      <w:r w:rsidRPr="00843434">
        <w:t xml:space="preserve"> </w:t>
      </w:r>
      <w:r w:rsidR="00CA2957">
        <w:t>και ότι η</w:t>
      </w:r>
      <w:r w:rsidRPr="00012A25">
        <w:t xml:space="preserve"> εργασιακή δέσμευση </w:t>
      </w:r>
      <w:r w:rsidR="00CA2957">
        <w:t>ενισχύει την</w:t>
      </w:r>
      <w:r w:rsidRPr="00012A25">
        <w:t xml:space="preserve"> εργασιακή απόδοση επειδή </w:t>
      </w:r>
      <w:r>
        <w:t>διευρύνει</w:t>
      </w:r>
      <w:r w:rsidRPr="00012A25">
        <w:t xml:space="preserve"> τη γνωστική λειτουργικότητα των εργαζομένων. </w:t>
      </w:r>
    </w:p>
    <w:p w14:paraId="36BAAB74" w14:textId="7B6954BC" w:rsidR="00FC6E2C" w:rsidRPr="00552D72" w:rsidRDefault="0066373C" w:rsidP="00552D72">
      <w:pPr>
        <w:spacing w:line="480" w:lineRule="auto"/>
        <w:ind w:firstLine="576"/>
        <w:jc w:val="both"/>
      </w:pPr>
      <w:r>
        <w:t>Η υποθέσεις αυτές εξετάστηκαν με διαχρονικές έρευνες τόσο σε δείγμα εργαζομένων (</w:t>
      </w:r>
      <w:r>
        <w:rPr>
          <w:i/>
        </w:rPr>
        <w:t>Ν</w:t>
      </w:r>
      <w:r>
        <w:t xml:space="preserve"> = 102), όσο και σε δείγμα φοιτητών (</w:t>
      </w:r>
      <w:r>
        <w:rPr>
          <w:i/>
        </w:rPr>
        <w:t>Ν</w:t>
      </w:r>
      <w:r>
        <w:t xml:space="preserve"> = 120),</w:t>
      </w:r>
      <w:r w:rsidR="005F4570">
        <w:t xml:space="preserve"> </w:t>
      </w:r>
      <w:r>
        <w:t xml:space="preserve">ως ένας τρόπος να εξεταστεί η οικολογική εγκυρότητα των ευρημάτων. Η διαχρονική φύση της έρευνας </w:t>
      </w:r>
      <w:r w:rsidRPr="00AB4001">
        <w:t>επιτρέπει να αποσαφηνιστεί, όχι μόνο η φύση της σχέσης</w:t>
      </w:r>
      <w:r>
        <w:t xml:space="preserve"> ανάμεσα στην εργασιακή ευζωία και τις γνωστικές λειτουργίες</w:t>
      </w:r>
      <w:r w:rsidRPr="00AB4001">
        <w:t>, αλλά και η κατεύθυνση της αιτιότητας</w:t>
      </w:r>
      <w:r>
        <w:t>. Για την ολοκληρωμένη εξέταση των υποθέσεων, αξιολογήθηκαν όλες οι κύριες γνωστικές λειτουργίες (</w:t>
      </w:r>
      <w:r w:rsidR="00EB7BA9">
        <w:t xml:space="preserve">εργαζόμενη </w:t>
      </w:r>
      <w:r w:rsidR="00EB7BA9" w:rsidRPr="00FC6E2C">
        <w:t>μνήμη, ικανότητα</w:t>
      </w:r>
      <w:r w:rsidR="00FC6E2C" w:rsidRPr="00FC6E2C">
        <w:t xml:space="preserve"> αναστολής</w:t>
      </w:r>
      <w:r w:rsidR="00EB7BA9" w:rsidRPr="00FC6E2C">
        <w:t>, γνωστική ευελιξία</w:t>
      </w:r>
      <w:r w:rsidR="00FC6E2C">
        <w:t xml:space="preserve"> και γενική νοητική ικανότητα</w:t>
      </w:r>
      <w:r w:rsidR="00552D72">
        <w:t xml:space="preserve"> και γνωστικά ελλείμματα</w:t>
      </w:r>
      <w:r w:rsidRPr="00FC6E2C">
        <w:t>).</w:t>
      </w:r>
      <w:r>
        <w:t xml:space="preserve"> Επίσης, οι γνωστικές λειτουργίες αξιολογήθηκαν μέσω μιας συστοιχίας γνωστικών δοκιμασιών, αλλά και μέσω αξιολογήσεων από τους συναδέλφους των συμμετεχόντων. Αντίστοιχα, </w:t>
      </w:r>
      <w:r w:rsidRPr="0097621B">
        <w:t xml:space="preserve">η εργασιακή απόδοση </w:t>
      </w:r>
      <w:r>
        <w:t>δεν αξιολογήθηκε μόνο από τους ίδιους τους συμμετέχοντες, αλλά και α</w:t>
      </w:r>
      <w:r w:rsidRPr="0097621B">
        <w:t xml:space="preserve">πό </w:t>
      </w:r>
      <w:r>
        <w:t xml:space="preserve">τους συναδέλφους τους περιορίζοντας </w:t>
      </w:r>
      <w:r w:rsidRPr="0097621B">
        <w:t>πιθανές μεροληψίες</w:t>
      </w:r>
      <w:r>
        <w:t xml:space="preserve"> κατά την αξιολόγηση. </w:t>
      </w:r>
    </w:p>
    <w:p w14:paraId="193F6DC0" w14:textId="77777777" w:rsidR="00840377" w:rsidRDefault="003F72D4" w:rsidP="009128FE">
      <w:pPr>
        <w:spacing w:line="480" w:lineRule="auto"/>
        <w:ind w:firstLine="720"/>
        <w:jc w:val="both"/>
        <w:rPr>
          <w:color w:val="FF0000"/>
        </w:rPr>
      </w:pPr>
      <w:r w:rsidRPr="00012A25">
        <w:t>Τα αποτελέσματα αναλύσεων διαδρομώ</w:t>
      </w:r>
      <w:r w:rsidR="003F3736">
        <w:t>ν</w:t>
      </w:r>
      <w:r w:rsidR="00BB15B0">
        <w:t xml:space="preserve"> </w:t>
      </w:r>
      <w:r w:rsidR="0066373C">
        <w:t>στο δείγμα των εργαζομένων</w:t>
      </w:r>
      <w:r w:rsidR="007D7048">
        <w:t xml:space="preserve"> </w:t>
      </w:r>
      <w:r w:rsidRPr="00012A25">
        <w:t xml:space="preserve">επιβεβαίωσαν </w:t>
      </w:r>
      <w:r w:rsidR="00E51EF9">
        <w:t xml:space="preserve">ότι </w:t>
      </w:r>
      <w:r w:rsidR="0066373C">
        <w:t>η επαγγελματική εξουθένωση</w:t>
      </w:r>
      <w:r w:rsidR="003C388C">
        <w:t xml:space="preserve"> οδηγεί σε</w:t>
      </w:r>
      <w:r w:rsidR="0066373C">
        <w:t xml:space="preserve"> βάθος χρόνου </w:t>
      </w:r>
      <w:r w:rsidR="00552D72">
        <w:t xml:space="preserve">σε ελλειμματική (εργαζόμενη) μνήμη, σε περιορισμένη ικανότητα αναστολής, </w:t>
      </w:r>
      <w:r w:rsidR="0066373C">
        <w:t>σε</w:t>
      </w:r>
      <w:r w:rsidR="00552D72">
        <w:t xml:space="preserve"> μειωμένη γνωστική ευελιξία,</w:t>
      </w:r>
      <w:r w:rsidR="00184684">
        <w:t xml:space="preserve"> </w:t>
      </w:r>
      <w:r w:rsidR="00427021">
        <w:t>καθώς και σε αυξημένα γνωστικά ελλείμματα</w:t>
      </w:r>
      <w:r w:rsidR="00184684">
        <w:t xml:space="preserve"> (όπως αξιολογήθηκαν από τους συναδέλφους των εργαζομένων)</w:t>
      </w:r>
      <w:r w:rsidR="00E51EF9">
        <w:t xml:space="preserve">. Όσον αφορά στην εργασιακή δέσμευση, βρέθηκε ότι </w:t>
      </w:r>
      <w:r w:rsidR="0066373C">
        <w:t xml:space="preserve">προβλέπει </w:t>
      </w:r>
      <w:r w:rsidR="00B93843">
        <w:t>αυξημένα</w:t>
      </w:r>
      <w:r w:rsidR="00462FD3">
        <w:t xml:space="preserve"> γνωστικά ελλείμματα σε βάθος </w:t>
      </w:r>
      <w:r w:rsidR="003A7B6C">
        <w:t xml:space="preserve">χρόνου. </w:t>
      </w:r>
      <w:r w:rsidR="00B93843">
        <w:t>Είναι σημαντικό να σημειωθεί ότι δεν επιβεβαιώθηκαν αντίστοιχες σχέσεις ανάμεσα στην ακαδημαϊκή εξουθένωση και τη γνωστική λειτουργικότητα στο δείγμα των φοιτητών</w:t>
      </w:r>
      <w:r>
        <w:t>.</w:t>
      </w:r>
      <w:r w:rsidRPr="002E461D">
        <w:rPr>
          <w:color w:val="FF0000"/>
        </w:rPr>
        <w:t xml:space="preserve"> </w:t>
      </w:r>
    </w:p>
    <w:p w14:paraId="2B1D2616" w14:textId="0B0FD341" w:rsidR="00567385" w:rsidRDefault="00B93843" w:rsidP="00040BC0">
      <w:pPr>
        <w:spacing w:line="480" w:lineRule="auto"/>
        <w:ind w:firstLine="720"/>
        <w:jc w:val="both"/>
      </w:pPr>
      <w:r w:rsidRPr="00840377">
        <w:rPr>
          <w:color w:val="000000" w:themeColor="text1"/>
        </w:rPr>
        <w:lastRenderedPageBreak/>
        <w:t>Σημαντικά είναι τα ευρήματα για το διαμεσολαβητικό ρόλο των γνωστικών λειτουργιών στη σχέση ανάμεσα στην</w:t>
      </w:r>
      <w:r w:rsidR="00685284" w:rsidRPr="00840377">
        <w:rPr>
          <w:color w:val="000000" w:themeColor="text1"/>
        </w:rPr>
        <w:t xml:space="preserve"> επαγγελματική εξουθένωση και την εργασιακή απόδοση σε βάθος χρό</w:t>
      </w:r>
      <w:r w:rsidR="00840377" w:rsidRPr="00840377">
        <w:rPr>
          <w:color w:val="000000" w:themeColor="text1"/>
        </w:rPr>
        <w:t>νου. Συγκεκριμένα βρέθηκε ότι ο εξουθενωμένος εργαζόμενος παρουσιάζει χαμηλή απόδοση σε βάθος χρόνου εξαιτίας της μειωμένης γνωστικής ευελιξίας</w:t>
      </w:r>
      <w:r w:rsidR="00FA19AA">
        <w:rPr>
          <w:color w:val="000000" w:themeColor="text1"/>
        </w:rPr>
        <w:t xml:space="preserve">, </w:t>
      </w:r>
      <w:r w:rsidR="00840377" w:rsidRPr="00840377">
        <w:rPr>
          <w:color w:val="000000" w:themeColor="text1"/>
        </w:rPr>
        <w:t>της ελλειμματικής</w:t>
      </w:r>
      <w:r w:rsidR="00FA19AA">
        <w:rPr>
          <w:color w:val="000000" w:themeColor="text1"/>
        </w:rPr>
        <w:t xml:space="preserve"> </w:t>
      </w:r>
      <w:r w:rsidR="00567385">
        <w:rPr>
          <w:color w:val="000000" w:themeColor="text1"/>
        </w:rPr>
        <w:t>εργαζόμενης</w:t>
      </w:r>
      <w:r w:rsidR="00840377" w:rsidRPr="00840377">
        <w:rPr>
          <w:color w:val="000000" w:themeColor="text1"/>
        </w:rPr>
        <w:t xml:space="preserve"> μνήμης και των υψηλών </w:t>
      </w:r>
      <w:r w:rsidR="00840377">
        <w:t>γνωστικών ελλειμμάτων.</w:t>
      </w:r>
      <w:r w:rsidR="002E09C8">
        <w:t xml:space="preserve"> </w:t>
      </w:r>
      <w:r w:rsidR="00FA19AA">
        <w:t xml:space="preserve">Ειδικότερα, η αδυναμία του εξουθενωμένου εργαζομένου να </w:t>
      </w:r>
      <w:r w:rsidR="00FA19AA">
        <w:rPr>
          <w:color w:val="000000"/>
        </w:rPr>
        <w:t>αποδεσμεύεται από μια στρατηγική για χάρη μιας βελτιωμένης στρατηγικής</w:t>
      </w:r>
      <w:r w:rsidR="002E09C8">
        <w:rPr>
          <w:color w:val="000000"/>
        </w:rPr>
        <w:t>, η αποτυχία του να</w:t>
      </w:r>
      <w:r w:rsidR="00FA19AA">
        <w:rPr>
          <w:color w:val="000000"/>
        </w:rPr>
        <w:t xml:space="preserve"> </w:t>
      </w:r>
      <w:r w:rsidR="00FA19AA">
        <w:t xml:space="preserve">επεξεργάζεται την </w:t>
      </w:r>
      <w:r w:rsidR="002E09C8">
        <w:t xml:space="preserve">απαραίτητη πληροφορία </w:t>
      </w:r>
      <w:r w:rsidR="00FA19AA">
        <w:t xml:space="preserve">για την επιτέλεση ενός έργου </w:t>
      </w:r>
      <w:r w:rsidR="002E09C8">
        <w:t>και ο μεγάλος αριθμός σφαλμάτων και αφηρημά</w:t>
      </w:r>
      <w:r w:rsidR="00040BC0">
        <w:t>δας που τον χαρακτηρίζουν, τον οδηγούν σε χαμηλά επίπεδα απόδοσης σε βάθος χρόνου.</w:t>
      </w:r>
    </w:p>
    <w:p w14:paraId="759F4460" w14:textId="2551D636" w:rsidR="00684AFC" w:rsidRDefault="00685284" w:rsidP="00684AFC">
      <w:pPr>
        <w:spacing w:line="480" w:lineRule="auto"/>
        <w:ind w:firstLine="720"/>
        <w:jc w:val="both"/>
      </w:pPr>
      <w:r>
        <w:t xml:space="preserve">Τα αποτελέσματα της διατριβής προάγουν τη θεωρία σχετικά με την εργασιακή ευζωία καθώς αναδεικνύουν έναν από τους μηχανισμούς που εξηγεί γιατί και με ποιον τρόπο η εργασιακή ευζωία προβλέπει την εργασιακή απόδοση. Βέβαια, πέρα από τη συμβολή αυτών των ευρημάτων θα πρέπει να αναγνωριστούν και συγκεκριμένοι μεθοδολογικοί περιορισμοί. Ο βασικότερος είναι ότι </w:t>
      </w:r>
      <w:r w:rsidR="002705D3">
        <w:t>εξαιτίας</w:t>
      </w:r>
      <w:r>
        <w:t xml:space="preserve"> του απαιτητικού χαρακτήρα της έρευνα</w:t>
      </w:r>
      <w:r w:rsidR="002705D3">
        <w:t>ς, ο αριθμός των συμμετεχόντων ήταν περιορισμένο</w:t>
      </w:r>
      <w:r w:rsidR="00040BC0">
        <w:t xml:space="preserve">ς. </w:t>
      </w:r>
      <w:r w:rsidR="00684AFC" w:rsidRPr="007564D5">
        <w:rPr>
          <w:shd w:val="clear" w:color="auto" w:fill="FFFFFF"/>
        </w:rPr>
        <w:t>Αυτό πιθαν</w:t>
      </w:r>
      <w:r w:rsidR="00684AFC">
        <w:rPr>
          <w:shd w:val="clear" w:color="auto" w:fill="FFFFFF"/>
        </w:rPr>
        <w:t>ά</w:t>
      </w:r>
      <w:r w:rsidR="00684AFC" w:rsidRPr="007564D5">
        <w:rPr>
          <w:shd w:val="clear" w:color="auto" w:fill="FFFFFF"/>
        </w:rPr>
        <w:t xml:space="preserve"> να </w:t>
      </w:r>
      <w:r w:rsidR="00684AFC">
        <w:rPr>
          <w:shd w:val="clear" w:color="auto" w:fill="FFFFFF"/>
        </w:rPr>
        <w:t>εξηγεί και κάποια μη στατιστικά αποτελέσματα, κυρίως στις περιπτώσεις των έμμεσων σχέσεων που δεν επιβεβαιώθηκαν</w:t>
      </w:r>
      <w:r w:rsidR="002705D3">
        <w:rPr>
          <w:shd w:val="clear" w:color="auto" w:fill="FFFFFF"/>
        </w:rPr>
        <w:t>.</w:t>
      </w:r>
      <w:r w:rsidR="00684AFC">
        <w:rPr>
          <w:shd w:val="clear" w:color="auto" w:fill="FFFFFF"/>
        </w:rPr>
        <w:t xml:space="preserve"> </w:t>
      </w:r>
    </w:p>
    <w:p w14:paraId="3984DE65" w14:textId="36851072" w:rsidR="00A43883" w:rsidRPr="003F18EC" w:rsidRDefault="00B16A2D" w:rsidP="003F18EC">
      <w:pPr>
        <w:spacing w:line="480" w:lineRule="auto"/>
        <w:ind w:firstLine="720"/>
        <w:jc w:val="both"/>
      </w:pPr>
      <w:r>
        <w:t>Συμπερασματικά, τα αποτελέσματα της διατριβής αναδεικνύουν τις αρνητικές επιπτώσεις της επαγγελματικής εξουθένωσης για τη γνωστική λειτουργικότητα των εργαζομένων και ρίχνουν φως στις ψυχολογικές διεργασίες που εξηγούν την αρνητική σχέση ανάμεσα στην εξουθένωση και την εργασιακή απόδοση.</w:t>
      </w:r>
      <w:r w:rsidR="00685284" w:rsidRPr="00685284">
        <w:t xml:space="preserve"> </w:t>
      </w:r>
      <w:r w:rsidR="00685284" w:rsidRPr="00D91E7C">
        <w:t>Επιπλέον,</w:t>
      </w:r>
      <w:r w:rsidR="00685284">
        <w:t xml:space="preserve"> αναδεικνύεται για πρώτη φορά η θετική σχέση ανάμεσα στην εργασιακή δέσμευση και τη γνωστική λειτουργικότητα των εργαζομένων. </w:t>
      </w:r>
      <w:r>
        <w:t xml:space="preserve"> Λαμβάνοντας</w:t>
      </w:r>
      <w:r w:rsidRPr="00B16A2D">
        <w:t xml:space="preserve"> </w:t>
      </w:r>
      <w:r>
        <w:t>υπόψη</w:t>
      </w:r>
      <w:r w:rsidRPr="00B16A2D">
        <w:t xml:space="preserve"> </w:t>
      </w:r>
      <w:r>
        <w:t>αυτά</w:t>
      </w:r>
      <w:r w:rsidRPr="00B16A2D">
        <w:t xml:space="preserve"> </w:t>
      </w:r>
      <w:r>
        <w:t>τα</w:t>
      </w:r>
      <w:r w:rsidRPr="00B16A2D">
        <w:t xml:space="preserve"> </w:t>
      </w:r>
      <w:r>
        <w:t xml:space="preserve">αποτελέσματα, οι οργανισμοί θα πρέπει να υιοθετήσουν προγράμματα παρεμβάσεων </w:t>
      </w:r>
      <w:r>
        <w:lastRenderedPageBreak/>
        <w:t>τα οποία θα έχουν στόχο την αντιμετώπιση των επιβλαβών επιπτώσεων της επαγγελματικής εξουθένωσης</w:t>
      </w:r>
      <w:r w:rsidR="00685284">
        <w:t xml:space="preserve"> και την ενίσχυση της εργασιακής δέσμευσης</w:t>
      </w:r>
      <w:r>
        <w:t xml:space="preserve">.  </w:t>
      </w:r>
    </w:p>
    <w:p w14:paraId="39548E27" w14:textId="4D29D29C" w:rsidR="00E3506C" w:rsidRPr="00EE45E5" w:rsidRDefault="00EE45E5" w:rsidP="006B2F7D">
      <w:pPr>
        <w:spacing w:line="480" w:lineRule="auto"/>
        <w:ind w:left="567" w:hanging="567"/>
        <w:jc w:val="center"/>
        <w:rPr>
          <w:shd w:val="clear" w:color="auto" w:fill="FFFFFF"/>
        </w:rPr>
      </w:pPr>
      <w:r w:rsidRPr="006B2F7D">
        <w:rPr>
          <w:b/>
          <w:shd w:val="clear" w:color="auto" w:fill="FFFFFF"/>
        </w:rPr>
        <w:t>Βιβλιογραφικές</w:t>
      </w:r>
      <w:r w:rsidR="002F2E02">
        <w:rPr>
          <w:b/>
          <w:shd w:val="clear" w:color="auto" w:fill="FFFFFF"/>
        </w:rPr>
        <w:t xml:space="preserve"> αναφορές</w:t>
      </w:r>
    </w:p>
    <w:p w14:paraId="7BDE3040" w14:textId="77777777" w:rsidR="00EE45E5" w:rsidRPr="00EE45E5" w:rsidRDefault="00EE45E5" w:rsidP="00EE45E5">
      <w:pPr>
        <w:spacing w:line="480" w:lineRule="auto"/>
        <w:ind w:left="567" w:hanging="567"/>
        <w:jc w:val="both"/>
        <w:rPr>
          <w:noProof/>
          <w:lang w:val="en-US"/>
        </w:rPr>
      </w:pPr>
      <w:r w:rsidRPr="00AB4001">
        <w:rPr>
          <w:noProof/>
          <w:lang w:val="en-US"/>
        </w:rPr>
        <w:t>Bakker</w:t>
      </w:r>
      <w:r w:rsidRPr="00405535">
        <w:rPr>
          <w:noProof/>
        </w:rPr>
        <w:t xml:space="preserve">, </w:t>
      </w:r>
      <w:r w:rsidRPr="00AB4001">
        <w:rPr>
          <w:noProof/>
          <w:lang w:val="en-US"/>
        </w:rPr>
        <w:t>A</w:t>
      </w:r>
      <w:r w:rsidRPr="00405535">
        <w:rPr>
          <w:noProof/>
        </w:rPr>
        <w:t>.</w:t>
      </w:r>
      <w:r w:rsidRPr="00AB4001">
        <w:rPr>
          <w:noProof/>
          <w:lang w:val="en-US"/>
        </w:rPr>
        <w:t>B</w:t>
      </w:r>
      <w:r w:rsidRPr="00405535">
        <w:rPr>
          <w:noProof/>
        </w:rPr>
        <w:t xml:space="preserve">., &amp; </w:t>
      </w:r>
      <w:r w:rsidRPr="00AB4001">
        <w:rPr>
          <w:noProof/>
          <w:lang w:val="en-US"/>
        </w:rPr>
        <w:t>Oerlemans</w:t>
      </w:r>
      <w:r w:rsidRPr="00405535">
        <w:rPr>
          <w:noProof/>
        </w:rPr>
        <w:t xml:space="preserve">, </w:t>
      </w:r>
      <w:r w:rsidRPr="00AB4001">
        <w:rPr>
          <w:noProof/>
          <w:lang w:val="en-US"/>
        </w:rPr>
        <w:t>W</w:t>
      </w:r>
      <w:r w:rsidRPr="00405535">
        <w:rPr>
          <w:noProof/>
        </w:rPr>
        <w:t xml:space="preserve">. (2011). </w:t>
      </w:r>
      <w:r w:rsidRPr="00AB4001">
        <w:rPr>
          <w:noProof/>
          <w:lang w:val="en-US"/>
        </w:rPr>
        <w:t>Subjective well-being in organizations. In Cameron K.S</w:t>
      </w:r>
      <w:r w:rsidRPr="001E064F">
        <w:rPr>
          <w:noProof/>
          <w:lang w:val="en-US"/>
        </w:rPr>
        <w:t>.</w:t>
      </w:r>
      <w:r>
        <w:rPr>
          <w:noProof/>
          <w:lang w:val="en-US"/>
        </w:rPr>
        <w:t>,</w:t>
      </w:r>
      <w:r w:rsidRPr="001E064F">
        <w:rPr>
          <w:noProof/>
          <w:lang w:val="en-US"/>
        </w:rPr>
        <w:t xml:space="preserve"> </w:t>
      </w:r>
      <w:r>
        <w:rPr>
          <w:noProof/>
          <w:lang w:val="en-US"/>
        </w:rPr>
        <w:t>&amp;</w:t>
      </w:r>
      <w:r w:rsidRPr="00AB4001">
        <w:rPr>
          <w:noProof/>
          <w:lang w:val="en-US"/>
        </w:rPr>
        <w:t xml:space="preserve"> Spreitzer G.M</w:t>
      </w:r>
      <w:r w:rsidRPr="001E064F">
        <w:rPr>
          <w:noProof/>
          <w:lang w:val="en-US"/>
        </w:rPr>
        <w:t>.</w:t>
      </w:r>
      <w:r w:rsidRPr="00AB4001">
        <w:rPr>
          <w:noProof/>
          <w:lang w:val="en-US"/>
        </w:rPr>
        <w:t xml:space="preserve"> (Eds.) </w:t>
      </w:r>
      <w:r w:rsidRPr="00AB4001">
        <w:rPr>
          <w:i/>
          <w:iCs/>
          <w:noProof/>
          <w:lang w:val="en-US"/>
        </w:rPr>
        <w:t xml:space="preserve">The Oxford </w:t>
      </w:r>
      <w:r>
        <w:rPr>
          <w:i/>
          <w:iCs/>
          <w:noProof/>
          <w:lang w:val="en-US"/>
        </w:rPr>
        <w:t>h</w:t>
      </w:r>
      <w:r w:rsidRPr="00AB4001">
        <w:rPr>
          <w:i/>
          <w:iCs/>
          <w:noProof/>
          <w:lang w:val="en-US"/>
        </w:rPr>
        <w:t xml:space="preserve">andbook of </w:t>
      </w:r>
      <w:r>
        <w:rPr>
          <w:i/>
          <w:iCs/>
          <w:noProof/>
          <w:lang w:val="en-US"/>
        </w:rPr>
        <w:t>p</w:t>
      </w:r>
      <w:r w:rsidRPr="00AB4001">
        <w:rPr>
          <w:i/>
          <w:iCs/>
          <w:noProof/>
          <w:lang w:val="en-US"/>
        </w:rPr>
        <w:t xml:space="preserve">ositive </w:t>
      </w:r>
      <w:r>
        <w:rPr>
          <w:noProof/>
          <w:lang w:val="en-US"/>
        </w:rPr>
        <w:t>s</w:t>
      </w:r>
      <w:r w:rsidRPr="00AB4001">
        <w:rPr>
          <w:noProof/>
          <w:lang w:val="en-US"/>
        </w:rPr>
        <w:t>cholarship (</w:t>
      </w:r>
      <w:r>
        <w:rPr>
          <w:noProof/>
          <w:lang w:val="en-US"/>
        </w:rPr>
        <w:t>pp</w:t>
      </w:r>
      <w:r w:rsidRPr="00AB4001">
        <w:rPr>
          <w:noProof/>
          <w:lang w:val="en-US"/>
        </w:rPr>
        <w:t>. 178–189)</w:t>
      </w:r>
      <w:r w:rsidRPr="00AB4001">
        <w:rPr>
          <w:i/>
          <w:iCs/>
          <w:noProof/>
          <w:lang w:val="en-US"/>
        </w:rPr>
        <w:t>.</w:t>
      </w:r>
      <w:r w:rsidRPr="00AB4001">
        <w:rPr>
          <w:noProof/>
          <w:lang w:val="en-US"/>
        </w:rPr>
        <w:t xml:space="preserve"> New York: Oxford University Press.</w:t>
      </w:r>
    </w:p>
    <w:p w14:paraId="15EE0F66" w14:textId="77777777" w:rsidR="00EE45E5" w:rsidRPr="00C244E4" w:rsidRDefault="00EE45E5" w:rsidP="00A767DE">
      <w:pPr>
        <w:spacing w:line="480" w:lineRule="auto"/>
        <w:ind w:left="567" w:hanging="567"/>
        <w:jc w:val="both"/>
        <w:rPr>
          <w:lang w:val="en-US"/>
        </w:rPr>
      </w:pPr>
      <w:r w:rsidRPr="00AB4001">
        <w:rPr>
          <w:shd w:val="clear" w:color="auto" w:fill="FFFFFF"/>
          <w:lang w:val="en-US"/>
        </w:rPr>
        <w:t>Baumeister, R. F., &amp; Vohs, K. D. (2003). Self-regulation and the executive function of the self.</w:t>
      </w:r>
      <w:r w:rsidRPr="00AB4001">
        <w:rPr>
          <w:rStyle w:val="apple-converted-space"/>
          <w:shd w:val="clear" w:color="auto" w:fill="FFFFFF"/>
          <w:lang w:val="en-US"/>
        </w:rPr>
        <w:t xml:space="preserve"> </w:t>
      </w:r>
      <w:r>
        <w:rPr>
          <w:rStyle w:val="apple-converted-space"/>
          <w:shd w:val="clear" w:color="auto" w:fill="FFFFFF"/>
          <w:lang w:val="en-US"/>
        </w:rPr>
        <w:t xml:space="preserve">In M.R. Leary, &amp; J.P. Tangey (Eds.), </w:t>
      </w:r>
      <w:r w:rsidRPr="00AB4001">
        <w:rPr>
          <w:i/>
          <w:iCs/>
          <w:shd w:val="clear" w:color="auto" w:fill="FFFFFF"/>
          <w:lang w:val="en-US"/>
        </w:rPr>
        <w:t>Handbook of self and identity</w:t>
      </w:r>
      <w:r w:rsidRPr="00AB4001">
        <w:rPr>
          <w:shd w:val="clear" w:color="auto" w:fill="FFFFFF"/>
          <w:lang w:val="en-US"/>
        </w:rPr>
        <w:t>,</w:t>
      </w:r>
      <w:r>
        <w:rPr>
          <w:shd w:val="clear" w:color="auto" w:fill="FFFFFF"/>
          <w:lang w:val="en-US"/>
        </w:rPr>
        <w:t xml:space="preserve"> (pp</w:t>
      </w:r>
      <w:r w:rsidRPr="00AB4001">
        <w:rPr>
          <w:shd w:val="clear" w:color="auto" w:fill="FFFFFF"/>
          <w:lang w:val="en-US"/>
        </w:rPr>
        <w:t>.</w:t>
      </w:r>
      <w:r>
        <w:rPr>
          <w:shd w:val="clear" w:color="auto" w:fill="FFFFFF"/>
          <w:lang w:val="en-US"/>
        </w:rPr>
        <w:t>197-217). New York: Guilford Press.</w:t>
      </w:r>
    </w:p>
    <w:p w14:paraId="733F4F29" w14:textId="77777777" w:rsidR="00D91060" w:rsidRDefault="00D91060" w:rsidP="00D91060">
      <w:pPr>
        <w:spacing w:line="480" w:lineRule="auto"/>
        <w:ind w:left="567" w:hanging="567"/>
        <w:jc w:val="both"/>
        <w:rPr>
          <w:noProof/>
          <w:lang w:val="en-US"/>
        </w:rPr>
      </w:pPr>
      <w:r w:rsidRPr="00AB4001">
        <w:rPr>
          <w:noProof/>
          <w:lang w:val="en-US"/>
        </w:rPr>
        <w:t xml:space="preserve">Christian, M.S., Garza, A.S., </w:t>
      </w:r>
      <w:r>
        <w:rPr>
          <w:noProof/>
          <w:lang w:val="en-US"/>
        </w:rPr>
        <w:t>&amp;</w:t>
      </w:r>
      <w:r w:rsidRPr="00AB4001">
        <w:rPr>
          <w:noProof/>
          <w:lang w:val="en-US"/>
        </w:rPr>
        <w:t xml:space="preserve"> Slaughter, J.E. (2011). Work </w:t>
      </w:r>
      <w:r>
        <w:rPr>
          <w:noProof/>
          <w:lang w:val="en-US"/>
        </w:rPr>
        <w:t>e</w:t>
      </w:r>
      <w:r w:rsidRPr="00AB4001">
        <w:rPr>
          <w:noProof/>
          <w:lang w:val="en-US"/>
        </w:rPr>
        <w:t xml:space="preserve">ngagement: A </w:t>
      </w:r>
      <w:r>
        <w:rPr>
          <w:noProof/>
          <w:lang w:val="en-US"/>
        </w:rPr>
        <w:t>q</w:t>
      </w:r>
      <w:r w:rsidRPr="00AB4001">
        <w:rPr>
          <w:noProof/>
          <w:lang w:val="en-US"/>
        </w:rPr>
        <w:t xml:space="preserve">uantitative </w:t>
      </w:r>
      <w:r>
        <w:rPr>
          <w:noProof/>
          <w:lang w:val="en-US"/>
        </w:rPr>
        <w:t>r</w:t>
      </w:r>
      <w:r w:rsidRPr="00AB4001">
        <w:rPr>
          <w:noProof/>
          <w:lang w:val="en-US"/>
        </w:rPr>
        <w:t xml:space="preserve">eview and </w:t>
      </w:r>
      <w:r>
        <w:rPr>
          <w:noProof/>
          <w:lang w:val="en-US"/>
        </w:rPr>
        <w:t>t</w:t>
      </w:r>
      <w:r w:rsidRPr="00AB4001">
        <w:rPr>
          <w:noProof/>
          <w:lang w:val="en-US"/>
        </w:rPr>
        <w:t xml:space="preserve">est of its </w:t>
      </w:r>
      <w:r>
        <w:rPr>
          <w:noProof/>
          <w:lang w:val="en-US"/>
        </w:rPr>
        <w:t>r</w:t>
      </w:r>
      <w:r w:rsidRPr="00AB4001">
        <w:rPr>
          <w:noProof/>
          <w:lang w:val="en-US"/>
        </w:rPr>
        <w:t xml:space="preserve">elations </w:t>
      </w:r>
      <w:r>
        <w:rPr>
          <w:noProof/>
          <w:lang w:val="en-US"/>
        </w:rPr>
        <w:t>w</w:t>
      </w:r>
      <w:r w:rsidRPr="00AB4001">
        <w:rPr>
          <w:noProof/>
          <w:lang w:val="en-US"/>
        </w:rPr>
        <w:t xml:space="preserve">ith </w:t>
      </w:r>
      <w:r>
        <w:rPr>
          <w:noProof/>
          <w:lang w:val="en-US"/>
        </w:rPr>
        <w:t>t</w:t>
      </w:r>
      <w:r w:rsidRPr="00AB4001">
        <w:rPr>
          <w:noProof/>
          <w:lang w:val="en-US"/>
        </w:rPr>
        <w:t xml:space="preserve">ask and </w:t>
      </w:r>
      <w:r>
        <w:rPr>
          <w:noProof/>
          <w:lang w:val="en-US"/>
        </w:rPr>
        <w:t>c</w:t>
      </w:r>
      <w:r w:rsidRPr="00AB4001">
        <w:rPr>
          <w:noProof/>
          <w:lang w:val="en-US"/>
        </w:rPr>
        <w:t xml:space="preserve">ontextual </w:t>
      </w:r>
      <w:r>
        <w:rPr>
          <w:noProof/>
          <w:lang w:val="en-US"/>
        </w:rPr>
        <w:t>p</w:t>
      </w:r>
      <w:r w:rsidRPr="00AB4001">
        <w:rPr>
          <w:noProof/>
          <w:lang w:val="en-US"/>
        </w:rPr>
        <w:t xml:space="preserve">erformance. </w:t>
      </w:r>
      <w:r w:rsidRPr="00AB4001">
        <w:rPr>
          <w:i/>
          <w:iCs/>
          <w:noProof/>
          <w:lang w:val="fr-FR"/>
        </w:rPr>
        <w:t>Personnel Psychology, 64</w:t>
      </w:r>
      <w:r w:rsidRPr="00AB4001">
        <w:rPr>
          <w:noProof/>
          <w:lang w:val="fr-FR"/>
        </w:rPr>
        <w:t>, 89–136</w:t>
      </w:r>
      <w:r w:rsidRPr="00B554E8">
        <w:rPr>
          <w:noProof/>
          <w:lang w:val="en-US"/>
        </w:rPr>
        <w:t>.</w:t>
      </w:r>
    </w:p>
    <w:p w14:paraId="170D8DB8" w14:textId="77777777" w:rsidR="00EE45E5" w:rsidRDefault="00EE45E5" w:rsidP="00B82CD2">
      <w:pPr>
        <w:spacing w:line="480" w:lineRule="auto"/>
        <w:ind w:left="567" w:hanging="567"/>
        <w:jc w:val="both"/>
        <w:rPr>
          <w:noProof/>
          <w:lang w:val="en-US"/>
        </w:rPr>
      </w:pPr>
      <w:r w:rsidRPr="00AB4001">
        <w:rPr>
          <w:noProof/>
          <w:lang w:val="en-US"/>
        </w:rPr>
        <w:t xml:space="preserve">Demerouti, E., Mosterd, K., &amp; Bakker, A. B. (2010). Burnout and work engagement: </w:t>
      </w:r>
      <w:r>
        <w:rPr>
          <w:noProof/>
          <w:lang w:val="en-US"/>
        </w:rPr>
        <w:t>A</w:t>
      </w:r>
      <w:r w:rsidRPr="00AB4001">
        <w:rPr>
          <w:noProof/>
          <w:lang w:val="en-US"/>
        </w:rPr>
        <w:t xml:space="preserve"> thorough investigation of the independency of both constructs. </w:t>
      </w:r>
      <w:r w:rsidRPr="00AB4001">
        <w:rPr>
          <w:i/>
          <w:iCs/>
          <w:noProof/>
          <w:lang w:val="en-US"/>
        </w:rPr>
        <w:t>Journal of Occupational Health Psychology</w:t>
      </w:r>
      <w:r w:rsidRPr="00AB4001">
        <w:rPr>
          <w:noProof/>
          <w:lang w:val="en-US"/>
        </w:rPr>
        <w:t xml:space="preserve">, </w:t>
      </w:r>
      <w:r w:rsidRPr="00AB4001">
        <w:rPr>
          <w:i/>
          <w:iCs/>
          <w:noProof/>
          <w:lang w:val="en-US"/>
        </w:rPr>
        <w:t>15</w:t>
      </w:r>
      <w:r>
        <w:rPr>
          <w:noProof/>
          <w:lang w:val="en-US"/>
        </w:rPr>
        <w:t>, 209–222</w:t>
      </w:r>
      <w:r w:rsidRPr="00C244E4">
        <w:rPr>
          <w:noProof/>
          <w:lang w:val="en-US"/>
        </w:rPr>
        <w:t>.</w:t>
      </w:r>
    </w:p>
    <w:p w14:paraId="7E0296D8" w14:textId="77777777" w:rsidR="00EE45E5" w:rsidRPr="00AA4B38" w:rsidRDefault="00EE45E5" w:rsidP="00A767DE">
      <w:pPr>
        <w:spacing w:line="480" w:lineRule="auto"/>
        <w:ind w:left="567" w:hanging="567"/>
        <w:jc w:val="both"/>
        <w:rPr>
          <w:noProof/>
          <w:lang w:val="en-US"/>
        </w:rPr>
      </w:pPr>
      <w:r w:rsidRPr="00AB4001">
        <w:rPr>
          <w:noProof/>
          <w:lang w:val="en-US"/>
        </w:rPr>
        <w:t xml:space="preserve">Fredrickson, B. L. (2001). The role of positive emotions in positive psychology. The broaden-and-build theory of positive emotions. </w:t>
      </w:r>
      <w:r w:rsidRPr="00AB4001">
        <w:rPr>
          <w:i/>
          <w:iCs/>
          <w:noProof/>
          <w:lang w:val="en-US"/>
        </w:rPr>
        <w:t>American Psychologist</w:t>
      </w:r>
      <w:r w:rsidRPr="00AB4001">
        <w:rPr>
          <w:noProof/>
          <w:lang w:val="en-US"/>
        </w:rPr>
        <w:t xml:space="preserve">, </w:t>
      </w:r>
      <w:r w:rsidRPr="00AB4001">
        <w:rPr>
          <w:i/>
          <w:iCs/>
          <w:noProof/>
          <w:lang w:val="en-US"/>
        </w:rPr>
        <w:t>56</w:t>
      </w:r>
      <w:r w:rsidRPr="00AB4001">
        <w:rPr>
          <w:noProof/>
          <w:lang w:val="en-US"/>
        </w:rPr>
        <w:t>, 218–</w:t>
      </w:r>
      <w:r>
        <w:rPr>
          <w:noProof/>
          <w:lang w:val="en-US"/>
        </w:rPr>
        <w:t>226.</w:t>
      </w:r>
    </w:p>
    <w:p w14:paraId="13E227E0" w14:textId="77777777" w:rsidR="00EE45E5" w:rsidRPr="00405535" w:rsidRDefault="00EE45E5" w:rsidP="00B52874">
      <w:pPr>
        <w:spacing w:line="480" w:lineRule="auto"/>
        <w:ind w:left="567" w:hanging="567"/>
        <w:jc w:val="both"/>
        <w:rPr>
          <w:noProof/>
          <w:lang w:val="en-US"/>
        </w:rPr>
      </w:pPr>
      <w:r w:rsidRPr="00AB4001">
        <w:rPr>
          <w:noProof/>
          <w:lang w:val="en-GB"/>
        </w:rPr>
        <w:t xml:space="preserve">Schaufeli, W. B., &amp; Bakker, A. B. (2004). </w:t>
      </w:r>
      <w:r w:rsidRPr="00AB4001">
        <w:rPr>
          <w:noProof/>
          <w:lang w:val="en-US"/>
        </w:rPr>
        <w:t xml:space="preserve">Job demands, job resources, and their relationship with burnout and engagement: A multi-sample study. </w:t>
      </w:r>
      <w:r w:rsidRPr="00AB4001">
        <w:rPr>
          <w:i/>
          <w:iCs/>
          <w:noProof/>
          <w:lang w:val="en-US"/>
        </w:rPr>
        <w:t>Journal of Organizational Behavior</w:t>
      </w:r>
      <w:r w:rsidRPr="00AB4001">
        <w:rPr>
          <w:noProof/>
          <w:lang w:val="en-US"/>
        </w:rPr>
        <w:t xml:space="preserve">, </w:t>
      </w:r>
      <w:r w:rsidRPr="00AB4001">
        <w:rPr>
          <w:i/>
          <w:iCs/>
          <w:noProof/>
          <w:lang w:val="en-US"/>
        </w:rPr>
        <w:t>25</w:t>
      </w:r>
      <w:r>
        <w:rPr>
          <w:noProof/>
          <w:lang w:val="en-US"/>
        </w:rPr>
        <w:t>, 293–315.</w:t>
      </w:r>
    </w:p>
    <w:p w14:paraId="662068A8" w14:textId="77777777" w:rsidR="00EE45E5" w:rsidRPr="00405535" w:rsidRDefault="00EE45E5" w:rsidP="00A767DE">
      <w:pPr>
        <w:spacing w:line="480" w:lineRule="auto"/>
        <w:ind w:left="567" w:hanging="567"/>
        <w:jc w:val="both"/>
        <w:rPr>
          <w:color w:val="000000"/>
          <w:lang w:val="en-US"/>
        </w:rPr>
      </w:pPr>
      <w:r w:rsidRPr="00AB4001">
        <w:rPr>
          <w:color w:val="000000"/>
          <w:lang w:val="en-US"/>
        </w:rPr>
        <w:t xml:space="preserve">Stern, Y. (2003). The concept of cognitive reserve: </w:t>
      </w:r>
      <w:r>
        <w:rPr>
          <w:color w:val="000000"/>
          <w:lang w:val="en-US"/>
        </w:rPr>
        <w:t>A</w:t>
      </w:r>
      <w:r w:rsidRPr="00AB4001">
        <w:rPr>
          <w:color w:val="000000"/>
          <w:lang w:val="en-US"/>
        </w:rPr>
        <w:t xml:space="preserve"> catalyst for research. </w:t>
      </w:r>
      <w:r w:rsidRPr="00AB4001">
        <w:rPr>
          <w:i/>
          <w:iCs/>
          <w:color w:val="000000"/>
          <w:lang w:val="en-US"/>
        </w:rPr>
        <w:t>Journal of Clinical and Experimental Neuropsychology, 25</w:t>
      </w:r>
      <w:r w:rsidRPr="00AB4001">
        <w:rPr>
          <w:color w:val="000000"/>
          <w:lang w:val="en-US"/>
        </w:rPr>
        <w:t>, 589-</w:t>
      </w:r>
      <w:r>
        <w:rPr>
          <w:color w:val="000000"/>
          <w:lang w:val="en-US"/>
        </w:rPr>
        <w:t>5</w:t>
      </w:r>
      <w:r w:rsidRPr="00AB4001">
        <w:rPr>
          <w:color w:val="000000"/>
          <w:lang w:val="en-US"/>
        </w:rPr>
        <w:t>93.</w:t>
      </w:r>
    </w:p>
    <w:p w14:paraId="69BF9240" w14:textId="5F8C4B5F" w:rsidR="00364F68" w:rsidRPr="003F18EC" w:rsidRDefault="00EE45E5" w:rsidP="003F18EC">
      <w:pPr>
        <w:spacing w:line="480" w:lineRule="auto"/>
        <w:ind w:left="567" w:hanging="567"/>
        <w:jc w:val="both"/>
        <w:rPr>
          <w:noProof/>
          <w:lang w:val="en-US"/>
        </w:rPr>
      </w:pPr>
      <w:r w:rsidRPr="00AB4001">
        <w:rPr>
          <w:noProof/>
          <w:lang w:val="en-US"/>
        </w:rPr>
        <w:t xml:space="preserve">Taris, T. W. (2006). Is there a relationship between burnout and objective performance? A critical review of 16 studies. </w:t>
      </w:r>
      <w:r w:rsidRPr="00AB4001">
        <w:rPr>
          <w:i/>
          <w:iCs/>
          <w:noProof/>
          <w:lang w:val="en-US"/>
        </w:rPr>
        <w:t>Work &amp; Stress</w:t>
      </w:r>
      <w:r w:rsidRPr="00AB4001">
        <w:rPr>
          <w:noProof/>
          <w:lang w:val="en-US"/>
        </w:rPr>
        <w:t xml:space="preserve">, </w:t>
      </w:r>
      <w:r w:rsidRPr="00AB4001">
        <w:rPr>
          <w:i/>
          <w:iCs/>
          <w:noProof/>
          <w:lang w:val="en-US"/>
        </w:rPr>
        <w:t>20</w:t>
      </w:r>
      <w:r w:rsidRPr="00AB4001">
        <w:rPr>
          <w:noProof/>
          <w:lang w:val="en-US"/>
        </w:rPr>
        <w:t xml:space="preserve">, 316–334. </w:t>
      </w:r>
    </w:p>
    <w:p w14:paraId="755A82CE" w14:textId="77777777" w:rsidR="00364F68" w:rsidRDefault="00364F68" w:rsidP="00AB6DAF">
      <w:pPr>
        <w:spacing w:line="480" w:lineRule="auto"/>
        <w:ind w:firstLine="720"/>
        <w:jc w:val="both"/>
      </w:pPr>
    </w:p>
    <w:p w14:paraId="2C5905B5" w14:textId="77777777" w:rsidR="004A152A" w:rsidRDefault="004A152A" w:rsidP="0040582F">
      <w:pPr>
        <w:spacing w:line="360" w:lineRule="auto"/>
        <w:ind w:firstLine="576"/>
        <w:jc w:val="both"/>
      </w:pPr>
    </w:p>
    <w:p w14:paraId="6E3CC7BE" w14:textId="77777777" w:rsidR="00CF5A1A" w:rsidRDefault="00CF5A1A" w:rsidP="001D54CC">
      <w:pPr>
        <w:spacing w:line="360" w:lineRule="auto"/>
        <w:jc w:val="both"/>
      </w:pPr>
    </w:p>
    <w:sectPr w:rsidR="00CF5A1A">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DAB52" w16cid:durableId="21A4F07E"/>
  <w16cid:commentId w16cid:paraId="211AFC8E" w16cid:durableId="21A4F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ACF44" w14:textId="77777777" w:rsidR="004B6AB6" w:rsidRDefault="004B6AB6" w:rsidP="00405535">
      <w:r>
        <w:separator/>
      </w:r>
    </w:p>
  </w:endnote>
  <w:endnote w:type="continuationSeparator" w:id="0">
    <w:p w14:paraId="593293F8" w14:textId="77777777" w:rsidR="004B6AB6" w:rsidRDefault="004B6AB6" w:rsidP="0040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FBD3B" w14:textId="77777777" w:rsidR="004B6AB6" w:rsidRDefault="004B6AB6" w:rsidP="00405535">
      <w:r>
        <w:separator/>
      </w:r>
    </w:p>
  </w:footnote>
  <w:footnote w:type="continuationSeparator" w:id="0">
    <w:p w14:paraId="5F463E24" w14:textId="77777777" w:rsidR="004B6AB6" w:rsidRDefault="004B6AB6" w:rsidP="00405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C5"/>
    <w:rsid w:val="00005752"/>
    <w:rsid w:val="00032914"/>
    <w:rsid w:val="00040BC0"/>
    <w:rsid w:val="000912C5"/>
    <w:rsid w:val="0009481C"/>
    <w:rsid w:val="000B5E64"/>
    <w:rsid w:val="000D5037"/>
    <w:rsid w:val="000E39EF"/>
    <w:rsid w:val="000E5C3B"/>
    <w:rsid w:val="00123CC1"/>
    <w:rsid w:val="00130BA3"/>
    <w:rsid w:val="00130FA0"/>
    <w:rsid w:val="001408D9"/>
    <w:rsid w:val="00142C31"/>
    <w:rsid w:val="00170EA7"/>
    <w:rsid w:val="00182031"/>
    <w:rsid w:val="00184684"/>
    <w:rsid w:val="001A031F"/>
    <w:rsid w:val="001D54CC"/>
    <w:rsid w:val="001E4CE0"/>
    <w:rsid w:val="002705D3"/>
    <w:rsid w:val="002724DA"/>
    <w:rsid w:val="00274CA5"/>
    <w:rsid w:val="00290E30"/>
    <w:rsid w:val="002E09C8"/>
    <w:rsid w:val="002F1F8F"/>
    <w:rsid w:val="002F2E02"/>
    <w:rsid w:val="00342F22"/>
    <w:rsid w:val="0035471C"/>
    <w:rsid w:val="00364F68"/>
    <w:rsid w:val="003A7B6C"/>
    <w:rsid w:val="003C388C"/>
    <w:rsid w:val="003F18EC"/>
    <w:rsid w:val="003F3736"/>
    <w:rsid w:val="003F72D4"/>
    <w:rsid w:val="00405535"/>
    <w:rsid w:val="0040582F"/>
    <w:rsid w:val="00417080"/>
    <w:rsid w:val="00427021"/>
    <w:rsid w:val="00431727"/>
    <w:rsid w:val="00440817"/>
    <w:rsid w:val="00462FD3"/>
    <w:rsid w:val="004768D8"/>
    <w:rsid w:val="00476AF7"/>
    <w:rsid w:val="00480CB9"/>
    <w:rsid w:val="004A152A"/>
    <w:rsid w:val="004B6AB6"/>
    <w:rsid w:val="004C2073"/>
    <w:rsid w:val="0052576D"/>
    <w:rsid w:val="00552D72"/>
    <w:rsid w:val="00567385"/>
    <w:rsid w:val="005915F0"/>
    <w:rsid w:val="005D5909"/>
    <w:rsid w:val="005F4570"/>
    <w:rsid w:val="00603317"/>
    <w:rsid w:val="006127A8"/>
    <w:rsid w:val="00612862"/>
    <w:rsid w:val="00617013"/>
    <w:rsid w:val="0066373C"/>
    <w:rsid w:val="00684AFC"/>
    <w:rsid w:val="00685284"/>
    <w:rsid w:val="006B2F7D"/>
    <w:rsid w:val="007B097A"/>
    <w:rsid w:val="007C2381"/>
    <w:rsid w:val="007C548D"/>
    <w:rsid w:val="007D7048"/>
    <w:rsid w:val="0083252E"/>
    <w:rsid w:val="00840377"/>
    <w:rsid w:val="0086140C"/>
    <w:rsid w:val="00871F29"/>
    <w:rsid w:val="00874792"/>
    <w:rsid w:val="00874D21"/>
    <w:rsid w:val="00885171"/>
    <w:rsid w:val="008B2D0A"/>
    <w:rsid w:val="009128FE"/>
    <w:rsid w:val="00932EE7"/>
    <w:rsid w:val="00935F5C"/>
    <w:rsid w:val="0094687C"/>
    <w:rsid w:val="00A039AB"/>
    <w:rsid w:val="00A43883"/>
    <w:rsid w:val="00A665CA"/>
    <w:rsid w:val="00A767DE"/>
    <w:rsid w:val="00AA5C74"/>
    <w:rsid w:val="00AB6DAF"/>
    <w:rsid w:val="00B06EC3"/>
    <w:rsid w:val="00B16A2D"/>
    <w:rsid w:val="00B1718E"/>
    <w:rsid w:val="00B375BD"/>
    <w:rsid w:val="00B52874"/>
    <w:rsid w:val="00B82CD2"/>
    <w:rsid w:val="00B82D32"/>
    <w:rsid w:val="00B92D8F"/>
    <w:rsid w:val="00B93843"/>
    <w:rsid w:val="00BB15B0"/>
    <w:rsid w:val="00BB582E"/>
    <w:rsid w:val="00C51C90"/>
    <w:rsid w:val="00C51F7E"/>
    <w:rsid w:val="00C8249D"/>
    <w:rsid w:val="00C93B20"/>
    <w:rsid w:val="00CA2957"/>
    <w:rsid w:val="00CC51E4"/>
    <w:rsid w:val="00CD7D3E"/>
    <w:rsid w:val="00CF5A1A"/>
    <w:rsid w:val="00D0569C"/>
    <w:rsid w:val="00D0576A"/>
    <w:rsid w:val="00D5106D"/>
    <w:rsid w:val="00D61824"/>
    <w:rsid w:val="00D67E33"/>
    <w:rsid w:val="00D91060"/>
    <w:rsid w:val="00D975FE"/>
    <w:rsid w:val="00DC7305"/>
    <w:rsid w:val="00DD65F2"/>
    <w:rsid w:val="00E001F8"/>
    <w:rsid w:val="00E34962"/>
    <w:rsid w:val="00E3506C"/>
    <w:rsid w:val="00E51EF9"/>
    <w:rsid w:val="00E521E3"/>
    <w:rsid w:val="00E61345"/>
    <w:rsid w:val="00EB7BA9"/>
    <w:rsid w:val="00EC0992"/>
    <w:rsid w:val="00ED0280"/>
    <w:rsid w:val="00ED4AE7"/>
    <w:rsid w:val="00ED73CC"/>
    <w:rsid w:val="00EE45E5"/>
    <w:rsid w:val="00F2571B"/>
    <w:rsid w:val="00FA19AA"/>
    <w:rsid w:val="00FC50EB"/>
    <w:rsid w:val="00FC6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C23"/>
  <w15:docId w15:val="{EB2C291E-88D5-4619-AFF7-3B8F4926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75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2EE7"/>
    <w:rPr>
      <w:rFonts w:ascii="Segoe UI" w:hAnsi="Segoe UI" w:cs="Segoe UI"/>
      <w:sz w:val="18"/>
      <w:szCs w:val="18"/>
    </w:rPr>
  </w:style>
  <w:style w:type="character" w:customStyle="1" w:styleId="Char">
    <w:name w:val="Κείμενο πλαισίου Char"/>
    <w:basedOn w:val="a0"/>
    <w:link w:val="a3"/>
    <w:uiPriority w:val="99"/>
    <w:semiHidden/>
    <w:rsid w:val="00932EE7"/>
    <w:rPr>
      <w:rFonts w:ascii="Segoe UI" w:eastAsia="Times New Roman" w:hAnsi="Segoe UI" w:cs="Segoe UI"/>
      <w:sz w:val="18"/>
      <w:szCs w:val="18"/>
      <w:lang w:eastAsia="el-GR"/>
    </w:rPr>
  </w:style>
  <w:style w:type="character" w:customStyle="1" w:styleId="apple-converted-space">
    <w:name w:val="apple-converted-space"/>
    <w:basedOn w:val="a0"/>
    <w:rsid w:val="00A767DE"/>
  </w:style>
  <w:style w:type="paragraph" w:styleId="a4">
    <w:name w:val="header"/>
    <w:basedOn w:val="a"/>
    <w:link w:val="Char0"/>
    <w:uiPriority w:val="99"/>
    <w:unhideWhenUsed/>
    <w:rsid w:val="00405535"/>
    <w:pPr>
      <w:tabs>
        <w:tab w:val="center" w:pos="4320"/>
        <w:tab w:val="right" w:pos="8640"/>
      </w:tabs>
    </w:pPr>
  </w:style>
  <w:style w:type="character" w:customStyle="1" w:styleId="Char0">
    <w:name w:val="Κεφαλίδα Char"/>
    <w:basedOn w:val="a0"/>
    <w:link w:val="a4"/>
    <w:uiPriority w:val="99"/>
    <w:rsid w:val="00405535"/>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405535"/>
    <w:pPr>
      <w:tabs>
        <w:tab w:val="center" w:pos="4320"/>
        <w:tab w:val="right" w:pos="8640"/>
      </w:tabs>
    </w:pPr>
  </w:style>
  <w:style w:type="character" w:customStyle="1" w:styleId="Char1">
    <w:name w:val="Υποσέλιδο Char"/>
    <w:basedOn w:val="a0"/>
    <w:link w:val="a5"/>
    <w:uiPriority w:val="99"/>
    <w:rsid w:val="00405535"/>
    <w:rPr>
      <w:rFonts w:ascii="Times New Roman" w:eastAsia="Times New Roman" w:hAnsi="Times New Roman" w:cs="Times New Roman"/>
      <w:sz w:val="24"/>
      <w:szCs w:val="24"/>
      <w:lang w:eastAsia="el-GR"/>
    </w:rPr>
  </w:style>
  <w:style w:type="character" w:styleId="a6">
    <w:name w:val="annotation reference"/>
    <w:basedOn w:val="a0"/>
    <w:uiPriority w:val="99"/>
    <w:semiHidden/>
    <w:unhideWhenUsed/>
    <w:rsid w:val="00405535"/>
    <w:rPr>
      <w:sz w:val="16"/>
      <w:szCs w:val="16"/>
    </w:rPr>
  </w:style>
  <w:style w:type="paragraph" w:styleId="a7">
    <w:name w:val="annotation text"/>
    <w:basedOn w:val="a"/>
    <w:link w:val="Char2"/>
    <w:uiPriority w:val="99"/>
    <w:semiHidden/>
    <w:unhideWhenUsed/>
    <w:rsid w:val="00405535"/>
    <w:rPr>
      <w:sz w:val="20"/>
      <w:szCs w:val="20"/>
    </w:rPr>
  </w:style>
  <w:style w:type="character" w:customStyle="1" w:styleId="Char2">
    <w:name w:val="Κείμενο σχολίου Char"/>
    <w:basedOn w:val="a0"/>
    <w:link w:val="a7"/>
    <w:uiPriority w:val="99"/>
    <w:semiHidden/>
    <w:rsid w:val="00405535"/>
    <w:rPr>
      <w:rFonts w:ascii="Times New Roman" w:eastAsia="Times New Roman" w:hAnsi="Times New Roman" w:cs="Times New Roman"/>
      <w:sz w:val="20"/>
      <w:szCs w:val="20"/>
      <w:lang w:eastAsia="el-GR"/>
    </w:rPr>
  </w:style>
  <w:style w:type="paragraph" w:styleId="a8">
    <w:name w:val="annotation subject"/>
    <w:basedOn w:val="a7"/>
    <w:next w:val="a7"/>
    <w:link w:val="Char3"/>
    <w:uiPriority w:val="99"/>
    <w:semiHidden/>
    <w:unhideWhenUsed/>
    <w:rsid w:val="00405535"/>
    <w:rPr>
      <w:b/>
      <w:bCs/>
    </w:rPr>
  </w:style>
  <w:style w:type="character" w:customStyle="1" w:styleId="Char3">
    <w:name w:val="Θέμα σχολίου Char"/>
    <w:basedOn w:val="Char2"/>
    <w:link w:val="a8"/>
    <w:uiPriority w:val="99"/>
    <w:semiHidden/>
    <w:rsid w:val="00405535"/>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2C4D17-99AE-43BC-945B-95BD7FB9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5883</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Lemonaki Rodanthi</dc:creator>
  <cp:lastModifiedBy>x y</cp:lastModifiedBy>
  <cp:revision>2</cp:revision>
  <dcterms:created xsi:type="dcterms:W3CDTF">2020-01-30T14:16:00Z</dcterms:created>
  <dcterms:modified xsi:type="dcterms:W3CDTF">2020-01-30T14:16:00Z</dcterms:modified>
</cp:coreProperties>
</file>